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КРАТКАЯ ПРЕЗЕНТАЦИЯ ОБРАЗОВАТЕЛЬНОЙ ПРОГРАММЫ</w:t>
      </w: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МБДОУ «ДЕТСКИЙ  САД «РОСИНКА»</w:t>
      </w:r>
    </w:p>
    <w:p w:rsidR="00B04FB4" w:rsidRDefault="00B04FB4" w:rsidP="00B04FB4">
      <w:pPr>
        <w:pStyle w:val="Default"/>
        <w:spacing w:after="0"/>
        <w:jc w:val="center"/>
        <w:rPr>
          <w:sz w:val="23"/>
          <w:szCs w:val="23"/>
        </w:rPr>
      </w:pPr>
    </w:p>
    <w:p w:rsidR="00B04FB4" w:rsidRDefault="00B04FB4" w:rsidP="00B04FB4">
      <w:pPr>
        <w:pStyle w:val="Default"/>
        <w:spacing w:after="0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Основная образовательная программа МБДОУ Детский сад «Росинка» разработана в соответствии с ФГОС дошкольного образования. </w:t>
      </w:r>
    </w:p>
    <w:p w:rsidR="00B04FB4" w:rsidRDefault="00B04FB4" w:rsidP="00B04FB4">
      <w:pPr>
        <w:pStyle w:val="Default"/>
        <w:spacing w:after="0"/>
        <w:ind w:firstLine="709"/>
        <w:rPr>
          <w:sz w:val="23"/>
          <w:szCs w:val="23"/>
        </w:rPr>
      </w:pPr>
      <w:proofErr w:type="gramStart"/>
      <w:r>
        <w:rPr>
          <w:sz w:val="23"/>
          <w:szCs w:val="23"/>
        </w:rPr>
        <w:t>Программа направлена на всестороннее развитие детей от 1,5 до 8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B04FB4" w:rsidRDefault="00B04FB4" w:rsidP="00B04FB4">
      <w:pPr>
        <w:pStyle w:val="Default"/>
        <w:spacing w:after="0"/>
        <w:ind w:firstLine="709"/>
      </w:pPr>
      <w:proofErr w:type="gramStart"/>
      <w:r>
        <w:t xml:space="preserve">Программа представляет  собой модель процесса воспитания и обучения детей, охватывающую все основные моменты их жизнедеятельности с учетом приоритетных видов детской деятельности в каждом возрастном периоде и </w:t>
      </w:r>
      <w:r>
        <w:rPr>
          <w:iCs/>
        </w:rPr>
        <w:t>обеспечивающую достижение воспитанниками физической и психологической  готовности к школе,</w:t>
      </w:r>
      <w:r>
        <w:t xml:space="preserve">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</w:t>
      </w:r>
      <w:proofErr w:type="gramEnd"/>
    </w:p>
    <w:p w:rsidR="00B04FB4" w:rsidRDefault="00B04FB4" w:rsidP="00B04FB4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Социально-коммуникативное развитие</w:t>
      </w:r>
      <w:r>
        <w:rPr>
          <w:rFonts w:ascii="Times New Roman" w:hAnsi="Times New Roman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B04FB4" w:rsidRDefault="00B04FB4" w:rsidP="00B04FB4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rFonts w:ascii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>
        <w:rPr>
          <w:rFonts w:ascii="Times New Roman" w:hAnsi="Times New Roman"/>
          <w:sz w:val="24"/>
          <w:szCs w:val="24"/>
        </w:rPr>
        <w:t>какобщемдоме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B04FB4" w:rsidRDefault="00B04FB4" w:rsidP="00B04FB4">
      <w:pPr>
        <w:spacing w:after="0"/>
        <w:ind w:firstLine="9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Речевое развитие</w:t>
      </w:r>
      <w:r>
        <w:rPr>
          <w:rFonts w:ascii="Times New Roman" w:hAnsi="Times New Roman"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04FB4" w:rsidRDefault="00B04FB4" w:rsidP="00B04FB4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B04FB4" w:rsidRDefault="00B04FB4" w:rsidP="00B04FB4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rPr>
          <w:rFonts w:ascii="Times New Roman" w:hAnsi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двигательной сфере;</w:t>
      </w:r>
      <w:proofErr w:type="gramEnd"/>
      <w:r>
        <w:rPr>
          <w:rFonts w:ascii="Times New Roman" w:hAnsi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B04FB4" w:rsidRDefault="00B04FB4" w:rsidP="00B04FB4">
      <w:pPr>
        <w:pStyle w:val="Default"/>
        <w:ind w:firstLine="709"/>
        <w:rPr>
          <w:sz w:val="23"/>
          <w:szCs w:val="23"/>
        </w:rPr>
      </w:pPr>
    </w:p>
    <w:p w:rsidR="00B04FB4" w:rsidRDefault="00B04FB4" w:rsidP="00B04FB4">
      <w:pPr>
        <w:pStyle w:val="Default"/>
        <w:ind w:firstLine="709"/>
      </w:pPr>
      <w:r>
        <w:t xml:space="preserve">Программа включает </w:t>
      </w:r>
      <w:r>
        <w:rPr>
          <w:b/>
        </w:rPr>
        <w:t>три основных раздела</w:t>
      </w:r>
      <w:r>
        <w:t xml:space="preserve">: целевой, содержательный и организационный. </w:t>
      </w:r>
    </w:p>
    <w:p w:rsidR="00B04FB4" w:rsidRDefault="00B04FB4" w:rsidP="00B04FB4">
      <w:pPr>
        <w:pStyle w:val="Default"/>
        <w:spacing w:after="0"/>
        <w:ind w:firstLine="709"/>
      </w:pPr>
      <w:r>
        <w:rPr>
          <w:b/>
          <w:bCs/>
        </w:rPr>
        <w:t xml:space="preserve">Целевой раздел </w:t>
      </w:r>
      <w:r>
        <w:t xml:space="preserve">включает в себя пояснительную записку и планируемые результаты освоения программы. </w:t>
      </w:r>
      <w:proofErr w:type="gramStart"/>
      <w: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образования: </w:t>
      </w:r>
      <w:proofErr w:type="gramEnd"/>
    </w:p>
    <w:p w:rsidR="00B04FB4" w:rsidRDefault="00B04FB4" w:rsidP="00B04FB4">
      <w:pPr>
        <w:pStyle w:val="Default"/>
        <w:spacing w:after="0"/>
        <w:ind w:firstLine="709"/>
      </w:pPr>
      <w: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</w:t>
      </w:r>
      <w:r>
        <w:lastRenderedPageBreak/>
        <w:t xml:space="preserve">построения речевого высказывания в ситуации общения, может выделять звуки в словах, у ребёнка складываются предпосылки грамотности;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может соблюдать правила безопасного поведения и личной гигиены;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B04FB4" w:rsidRDefault="00B04FB4" w:rsidP="00B04FB4">
      <w:pPr>
        <w:pStyle w:val="Default"/>
        <w:ind w:firstLine="709"/>
      </w:pPr>
      <w: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B04FB4" w:rsidRDefault="00B04FB4" w:rsidP="00B04FB4">
      <w:pPr>
        <w:pStyle w:val="Default"/>
        <w:spacing w:after="0"/>
        <w:ind w:firstLine="709"/>
      </w:pPr>
      <w:r>
        <w:rPr>
          <w:b/>
          <w:bCs/>
        </w:rPr>
        <w:t xml:space="preserve">Содержательный раздел </w:t>
      </w:r>
      <w:r>
        <w:t xml:space="preserve">представляет общее содержание Программы, обеспечивающее полноценное развитие личности детей. </w:t>
      </w:r>
    </w:p>
    <w:p w:rsidR="00B04FB4" w:rsidRDefault="00B04FB4" w:rsidP="00B04FB4">
      <w:pPr>
        <w:pStyle w:val="Default"/>
        <w:spacing w:after="0"/>
        <w:ind w:firstLine="709"/>
      </w:pPr>
      <w:r>
        <w:t xml:space="preserve">Программа состоит из обязательной части и части, формируемой участниками образовательных отношений. </w:t>
      </w:r>
      <w:r>
        <w:rPr>
          <w:i/>
          <w:iCs/>
        </w:rPr>
        <w:t xml:space="preserve">Обязательная часть </w:t>
      </w:r>
      <w:r>
        <w:t xml:space="preserve">Программы отражает комплексность подхода, обеспечивая развитие детей во всех пяти образовательных областях.     Обязательная часть разработана на основе примерной основной общеобразовательной программы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>.</w:t>
      </w:r>
    </w:p>
    <w:p w:rsidR="00B04FB4" w:rsidRDefault="00B04FB4" w:rsidP="00B04FB4">
      <w:pPr>
        <w:pStyle w:val="Default"/>
        <w:spacing w:after="0"/>
        <w:ind w:firstLine="709"/>
      </w:pPr>
      <w:r>
        <w:rPr>
          <w:b/>
          <w:iCs/>
        </w:rPr>
        <w:t>Часть Программы</w:t>
      </w:r>
      <w:r>
        <w:rPr>
          <w:iCs/>
        </w:rPr>
        <w:t>, формируемая участниками образовательных отношений</w:t>
      </w:r>
      <w:r>
        <w:rPr>
          <w:i/>
          <w:iCs/>
        </w:rPr>
        <w:t xml:space="preserve">, </w:t>
      </w:r>
      <w:r>
        <w:t>отражает духовно-нравственное развитие детей и представлена в виде организованной образовательной деятельности по освоению парциальной программы</w:t>
      </w:r>
      <w:r>
        <w:rPr>
          <w:b/>
        </w:rPr>
        <w:t xml:space="preserve"> Князевой О.Л., </w:t>
      </w:r>
      <w:proofErr w:type="spellStart"/>
      <w:r>
        <w:rPr>
          <w:b/>
        </w:rPr>
        <w:t>Маханевой</w:t>
      </w:r>
      <w:proofErr w:type="spellEnd"/>
      <w:r>
        <w:rPr>
          <w:b/>
        </w:rPr>
        <w:t xml:space="preserve"> М.Д. Приобщение детей к истокам русской народной культуры</w:t>
      </w:r>
      <w:r>
        <w:t>.</w:t>
      </w:r>
    </w:p>
    <w:p w:rsidR="00B04FB4" w:rsidRDefault="00B04FB4" w:rsidP="00B04FB4">
      <w:pPr>
        <w:spacing w:after="0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Разработанная Программа предусматривает включение воспитанников в процесс ознакомления с русской народной культурой.</w:t>
      </w:r>
    </w:p>
    <w:p w:rsidR="00B04FB4" w:rsidRDefault="00B04FB4" w:rsidP="00B04FB4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целью </w:t>
      </w:r>
      <w:r>
        <w:rPr>
          <w:rFonts w:ascii="Times New Roman" w:hAnsi="Times New Roman"/>
          <w:sz w:val="24"/>
          <w:szCs w:val="24"/>
        </w:rPr>
        <w:t>работы является духовно-нравственное воспитание детей дошкольного возраста посредством формирования эмоционально окрашенного чувства причастности детей к наследию прошлого и приобретения культурного богатства русского народа через следующие приоритеты:</w:t>
      </w:r>
    </w:p>
    <w:p w:rsidR="00B04FB4" w:rsidRDefault="00B04FB4" w:rsidP="00B04FB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B04FB4" w:rsidRDefault="00B04FB4" w:rsidP="00B04FB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Окружающие предметы, впервые  пробуждающие  душу ребенка, воспитывающие в нем чувство красоты, любознательность, должны быть  национальными.</w:t>
      </w:r>
    </w:p>
    <w:p w:rsidR="00B04FB4" w:rsidRDefault="00B04FB4" w:rsidP="00B04FB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широко использовать все виды фольклора. В устном народном  творчестве как нигде сохранились особенные черты русского характера, присущие ему нравственные ценности, представления  о бобре, красоте, правде, верности.</w:t>
      </w:r>
    </w:p>
    <w:p w:rsidR="00B04FB4" w:rsidRDefault="00B04FB4" w:rsidP="00B04FB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 место в приобщении  детей к народной культуре должны занимать  народные праздники  и традиции.</w:t>
      </w:r>
    </w:p>
    <w:p w:rsidR="00B04FB4" w:rsidRDefault="00B04FB4" w:rsidP="00B04FB4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важно ознакомить детей с народной декоративной росписью.</w:t>
      </w:r>
    </w:p>
    <w:p w:rsidR="00B04FB4" w:rsidRDefault="00B04FB4" w:rsidP="00B04FB4">
      <w:pPr>
        <w:spacing w:after="0"/>
        <w:rPr>
          <w:rFonts w:ascii="Times New Roman" w:hAnsi="Times New Roman"/>
          <w:sz w:val="24"/>
          <w:szCs w:val="24"/>
        </w:rPr>
      </w:pPr>
    </w:p>
    <w:p w:rsidR="00B04FB4" w:rsidRDefault="00B04FB4" w:rsidP="00B04FB4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B04FB4" w:rsidRDefault="00B04FB4" w:rsidP="00B04FB4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образовательных областей зависит от возрастных и индивидуальных особенностей детей. Определяется целями и задачами Программы и реализуется в различных видах деятельности (общении, игре, познавательно-исследовательской деятельности – как сквозных механизмах развития ребёнка) и т.д.</w:t>
      </w:r>
    </w:p>
    <w:p w:rsidR="00B04FB4" w:rsidRDefault="00B04FB4" w:rsidP="00B04FB4">
      <w:pPr>
        <w:pStyle w:val="Default"/>
        <w:ind w:firstLine="709"/>
      </w:pPr>
      <w:r>
        <w:rPr>
          <w:b/>
          <w:bCs/>
        </w:rPr>
        <w:t xml:space="preserve">Организационный раздел </w:t>
      </w:r>
      <w:r>
        <w:t xml:space="preserve">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среды. </w:t>
      </w:r>
    </w:p>
    <w:p w:rsidR="00B04FB4" w:rsidRDefault="00B04FB4" w:rsidP="00B04FB4">
      <w:pPr>
        <w:pStyle w:val="font8"/>
        <w:spacing w:before="0" w:beforeAutospacing="0" w:after="0" w:afterAutospacing="0" w:line="276" w:lineRule="auto"/>
        <w:ind w:firstLine="708"/>
        <w:textAlignment w:val="baseline"/>
        <w:rPr>
          <w:color w:val="4F4F4F"/>
        </w:rPr>
      </w:pPr>
      <w:r>
        <w:rPr>
          <w:rStyle w:val="color30"/>
          <w:bCs/>
          <w:color w:val="220C1C"/>
          <w:bdr w:val="none" w:sz="0" w:space="0" w:color="auto" w:frame="1"/>
        </w:rPr>
        <w:t>В здании детского сада располагаются 6 групповых помещений, кабинет заведующего, методический кабинет, кабинет логопеда, музыкально -  физкультурный залы, медицинский кабинет, процедурный  кабинет, пищеблок, прачечная и ряд служебных помещений.</w:t>
      </w:r>
    </w:p>
    <w:p w:rsidR="00B04FB4" w:rsidRDefault="00B04FB4" w:rsidP="00B04FB4">
      <w:pPr>
        <w:pStyle w:val="font8"/>
        <w:spacing w:before="0" w:beforeAutospacing="0" w:after="0" w:afterAutospacing="0" w:line="276" w:lineRule="auto"/>
        <w:textAlignment w:val="baseline"/>
        <w:rPr>
          <w:rStyle w:val="color30"/>
          <w:bCs/>
          <w:color w:val="220C1C"/>
          <w:bdr w:val="none" w:sz="0" w:space="0" w:color="auto" w:frame="1"/>
        </w:rPr>
      </w:pPr>
      <w:r>
        <w:rPr>
          <w:rStyle w:val="color30"/>
          <w:bCs/>
          <w:color w:val="220C1C"/>
          <w:bdr w:val="none" w:sz="0" w:space="0" w:color="auto" w:frame="1"/>
        </w:rPr>
        <w:t>     Все группы изолированы, каждая имеет раздевальную, групповую, спальню, туалет и умывальную.</w:t>
      </w:r>
    </w:p>
    <w:p w:rsidR="00B04FB4" w:rsidRDefault="00B04FB4" w:rsidP="00B04FB4">
      <w:pPr>
        <w:pStyle w:val="font8"/>
        <w:spacing w:before="0" w:beforeAutospacing="0" w:after="0" w:afterAutospacing="0" w:line="276" w:lineRule="auto"/>
        <w:textAlignment w:val="baseline"/>
        <w:rPr>
          <w:rStyle w:val="color30"/>
          <w:bCs/>
          <w:color w:val="220C1C"/>
          <w:bdr w:val="none" w:sz="0" w:space="0" w:color="auto" w:frame="1"/>
        </w:rPr>
      </w:pPr>
    </w:p>
    <w:tbl>
      <w:tblPr>
        <w:tblW w:w="9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546"/>
        <w:gridCol w:w="3576"/>
      </w:tblGrid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Оснащение</w:t>
            </w:r>
          </w:p>
        </w:tc>
      </w:tr>
      <w:tr w:rsidR="00B04FB4" w:rsidTr="00B04FB4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комната</w:t>
            </w:r>
          </w:p>
          <w:p w:rsidR="00B04FB4" w:rsidRDefault="00B04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игровой и самостоятельной деятельности;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Питания детей;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Кухонный шкаф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игрушек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Столы детские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 детские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игровая мебель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B4" w:rsidTr="00B04FB4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4FB4" w:rsidRDefault="00B04FB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кровати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 письменный 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методической литературы и пособий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смены постельного белья и полотенец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Умывальная комната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Шкафчики для полотенец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мойки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Мойка для сотрудников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Туалетная комната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 w:line="240" w:lineRule="auto"/>
              <w:jc w:val="left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унитазы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Раздевалка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Переодевание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Шкафчики для раздевания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вещей сотрудников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заведующего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ДОУ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Принтер-сканер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Письменный стол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и полки для документов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Сейф 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кабинет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осуществление методической помощи педагогам;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организация педсоветов, семинаров, консультаций и других форм повышения педагогического мастерства;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выставка методических и дидактических материалов для организации образовательной деятельности с детьми в различных областях.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документация по содержанию работы в ДОУ (программа развития ДОУ; образовательная программа ДОУ на учебный год, годовой план ДОУ, журнал протоколов педсоветов, журнал учета поступающих и используемых материалов, папка документов по аттестации педагогов, результаты мониторинга освоения образовательной программы воспитанниками, информация о состоянии работы по реализации программы);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библиотека методической, педагогической и детской литературы;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библиотека периодических изданий;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демонстрационный и раздаточный материал для непосредственно образовательной деятельности;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материалы обобщения и трансляции опыта педагогов ДОУ;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игрушки, муляжи, изделия народных промыслов;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компьютер с доступом к сети "Интернет", принтер;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color w:val="220C1C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телевизор, DVD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– физкультурный зал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организация организованно -  образовательной деятельности в области "Художественно-эстетическое развитие";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 xml:space="preserve">постановка театральных представлений, проведение праздников; развлечений, </w:t>
            </w:r>
            <w:r>
              <w:rPr>
                <w:rFonts w:ascii="Times New Roman" w:hAnsi="Times New Roman"/>
                <w:color w:val="220C1C"/>
                <w:sz w:val="24"/>
                <w:szCs w:val="24"/>
              </w:rPr>
              <w:lastRenderedPageBreak/>
              <w:t>досугов;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lastRenderedPageBreak/>
              <w:t>пианино;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музыкальный центр;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набор народных музыкальных инструментов;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ширма;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нотный материал;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фонотека;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портреты композиторов;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lastRenderedPageBreak/>
              <w:t>костюмы для театрализации;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библиотека методической литературы.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color w:val="220C1C"/>
                <w:sz w:val="24"/>
                <w:szCs w:val="24"/>
              </w:rPr>
            </w:pP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0C1C"/>
                <w:sz w:val="24"/>
                <w:szCs w:val="24"/>
              </w:rPr>
              <w:t>организация организованной  образовательной деятельности в области "Физическое развитие";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0C1C"/>
                <w:sz w:val="24"/>
                <w:szCs w:val="24"/>
              </w:rPr>
              <w:t>проведение утренней гимнастики; физкультурных праздников, развлечений, досугов.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color w:val="220C1C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220C1C"/>
                <w:sz w:val="24"/>
                <w:szCs w:val="24"/>
              </w:rPr>
              <w:t>стандартное и нетрадиционное оборудование, необходимое для ведения физкультурно-оздоровительной работы (гимнастические стенки, скамейки, маты, кольца для метания, обручи, оборудование для прыжков, лазания, метания, канат, предметы для выполнения ОРУ).</w:t>
            </w:r>
            <w:proofErr w:type="gramEnd"/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создание коррекционно-развивающей среды для обеспечения помощи детям по исправлению или ослаблению имеющихся нарушений;</w:t>
            </w:r>
          </w:p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проведение обследования детей с целью разработки индивидуальной программы развития;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проведение групповых, подгрупповых и индивидуальных занятий;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оказание консультативной помощи педагогам, родителям.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столы для диагностики и индивидуальной коррекции речи детей;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дидактические материалы, игрушки и развивающие игры, подобранные с учетом возраста детей и направлениями коррекционно-развивающей работы;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настенные и индивидуальные зеркала;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компьютер с доступом к сети  "Интернет", принтер.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color w:val="220C1C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Приготовление пищи, организация питания детей.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color w:val="220C1C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>Пищеблок детского сада укомплектован необходимым технологическим оборудованием для приготовления различных блюд и хранения продуктов.</w:t>
            </w: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кабинет: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4FB4" w:rsidRDefault="00B04F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/>
              <w:rPr>
                <w:rFonts w:ascii="Times New Roman" w:hAnsi="Times New Roman"/>
                <w:color w:val="220C1C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первой медицинской помощи,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вакцино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-профилактика. 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B4" w:rsidRDefault="00B04FB4">
            <w:pPr>
              <w:spacing w:after="0"/>
              <w:rPr>
                <w:rFonts w:ascii="Times New Roman" w:hAnsi="Times New Roman"/>
                <w:bCs/>
                <w:color w:val="220C1C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0C1C"/>
                <w:sz w:val="24"/>
                <w:szCs w:val="24"/>
              </w:rPr>
              <w:t>шкаф для хранения инструментов и медикаментов, перевязочного материала;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0C1C"/>
                <w:sz w:val="24"/>
                <w:szCs w:val="24"/>
              </w:rPr>
              <w:t>шкаф с набором сре</w:t>
            </w:r>
            <w:proofErr w:type="gramStart"/>
            <w:r>
              <w:rPr>
                <w:rFonts w:ascii="Times New Roman" w:hAnsi="Times New Roman"/>
                <w:bCs/>
                <w:color w:val="220C1C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отивошоковой терапии;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холодильник для хранения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бакпрепаратов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маркированными полками;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холодильник для хранения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медикаментов;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кушетка;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бактерицидная лампа (2);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медицинский столик для вакцинопрофилактики;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медицинский столик для проведения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анту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термоконтейнер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для доставки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бакпрепаратов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термоконтейнер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дезсредствами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раковина с двумя ячейками: 1) для мытья рук, 2) для обработки инструментов; локтевой смеситель;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два дозатора: 1) средство для гигиенической обработки рук; 2) кожный антисептик;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 для отходов класса "А", 2) для отходов класса "В" (опасные);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индивидуальные одноразовые полотенца;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график уборки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кварцевания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процедурного кабинета. </w:t>
            </w:r>
          </w:p>
          <w:p w:rsidR="00B04FB4" w:rsidRDefault="00B04FB4">
            <w:pPr>
              <w:spacing w:after="0"/>
              <w:rPr>
                <w:rFonts w:ascii="Times New Roman" w:hAnsi="Times New Roman"/>
                <w:color w:val="220C1C"/>
                <w:sz w:val="24"/>
                <w:szCs w:val="24"/>
              </w:rPr>
            </w:pPr>
          </w:p>
        </w:tc>
      </w:tr>
      <w:tr w:rsidR="00B04FB4" w:rsidTr="00B04FB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lastRenderedPageBreak/>
              <w:t xml:space="preserve">Прачечная (имеет два помещения)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20C1C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 xml:space="preserve">для стирки белья </w:t>
            </w:r>
          </w:p>
          <w:p w:rsidR="00B04FB4" w:rsidRDefault="00B04F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 xml:space="preserve">гладильная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FB4" w:rsidRDefault="00B04F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20C1C"/>
                <w:sz w:val="24"/>
                <w:szCs w:val="24"/>
              </w:rPr>
              <w:t xml:space="preserve">стиральными машинами (2), ванной, электроутюги (2) с хозяйственные шкафы (6), гладильные доски </w:t>
            </w:r>
          </w:p>
        </w:tc>
      </w:tr>
    </w:tbl>
    <w:p w:rsidR="00B04FB4" w:rsidRDefault="00B04FB4" w:rsidP="00B04FB4">
      <w:pPr>
        <w:pStyle w:val="Default"/>
      </w:pPr>
    </w:p>
    <w:p w:rsidR="00B04FB4" w:rsidRDefault="00B04FB4" w:rsidP="00B04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4FB4" w:rsidRDefault="00B04FB4" w:rsidP="00B04F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058E1" w:rsidRDefault="001058E1">
      <w:bookmarkStart w:id="0" w:name="_GoBack"/>
      <w:bookmarkEnd w:id="0"/>
    </w:p>
    <w:sectPr w:rsidR="0010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22C"/>
    <w:multiLevelType w:val="hybridMultilevel"/>
    <w:tmpl w:val="C87CD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B"/>
    <w:rsid w:val="001058E1"/>
    <w:rsid w:val="008C45AB"/>
    <w:rsid w:val="00B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4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FB4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B04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30">
    <w:name w:val="color_30"/>
    <w:basedOn w:val="a0"/>
    <w:rsid w:val="00B04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B4"/>
    <w:pPr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4FB4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B04F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lor30">
    <w:name w:val="color_30"/>
    <w:basedOn w:val="a0"/>
    <w:rsid w:val="00B0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2207</Words>
  <Characters>12581</Characters>
  <Application>Microsoft Office Word</Application>
  <DocSecurity>0</DocSecurity>
  <Lines>104</Lines>
  <Paragraphs>29</Paragraphs>
  <ScaleCrop>false</ScaleCrop>
  <Company>САЭС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2022-04-07T19:23:00Z</dcterms:created>
  <dcterms:modified xsi:type="dcterms:W3CDTF">2022-04-07T19:23:00Z</dcterms:modified>
</cp:coreProperties>
</file>